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CF0C" w14:textId="77777777" w:rsidR="00A86CBD" w:rsidRPr="00A86CBD" w:rsidRDefault="00A86CBD" w:rsidP="00A86CB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ІНСТРУКЦІЯ</w:t>
      </w:r>
    </w:p>
    <w:p w14:paraId="0422E6D7" w14:textId="77777777" w:rsidR="00A86CBD" w:rsidRPr="00A86CBD" w:rsidRDefault="00A86CBD" w:rsidP="00A86CB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медичного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застосування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лікарського засобу</w:t>
      </w:r>
    </w:p>
    <w:p w14:paraId="49FE73A9" w14:textId="77777777" w:rsidR="00A86CBD" w:rsidRPr="00A86CBD" w:rsidRDefault="00A86CBD" w:rsidP="00A86CB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p w14:paraId="41A80505" w14:textId="77777777" w:rsidR="00A86CBD" w:rsidRPr="00A86CBD" w:rsidRDefault="00A86CBD" w:rsidP="00A86CB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Опіпрам</w:t>
      </w:r>
      <w:proofErr w:type="spellEnd"/>
    </w:p>
    <w:p w14:paraId="65D5567F" w14:textId="77777777" w:rsidR="00A86CBD" w:rsidRPr="00A86CBD" w:rsidRDefault="00A86CBD" w:rsidP="00A86CB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</w:t>
      </w: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Opipram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)</w:t>
      </w:r>
    </w:p>
    <w:p w14:paraId="4464437E" w14:textId="77777777" w:rsidR="00A86CBD" w:rsidRPr="00A86CBD" w:rsidRDefault="00A86CBD" w:rsidP="00A86CB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p w14:paraId="557E0E31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Склад:</w:t>
      </w:r>
    </w:p>
    <w:p w14:paraId="5FF34A56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діюча речовина: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дигідрохлорид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1377AB99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 таблетка, вкрита плівковою оболонкою, містить 50 мг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дигідрохлориду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70FEC4B3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допоміжні речовини: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крохмаль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прежелатинізований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 целюлоза мікрокристалічна, кремнію діоксид колоїдний безводний, магнію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стеарат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макрогол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6000,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гіпромелоза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тальк, титану діоксид (Е 171), заліза оксид жовтий (Е 172).</w:t>
      </w:r>
    </w:p>
    <w:p w14:paraId="78CD091A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6CE310DF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Лікарська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форма.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аблетк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и, вкриті плівковою оболонкою.</w:t>
      </w:r>
    </w:p>
    <w:p w14:paraId="5E0B208A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Основні фізико-хімічні властивості:</w:t>
      </w:r>
      <w:r w:rsidRPr="00A86C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таблетки круглої форми, вкриті плівковою оболонкою, жовто-коричневого кольору.</w:t>
      </w:r>
    </w:p>
    <w:p w14:paraId="6BEC2CC4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5E7E44DA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Фармакотерапевтична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група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діють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систему.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Неселективні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інгібітори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зворотного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захоплення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моноамінів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 АТХ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N06A A05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2D243D88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6259582E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Фармакологічні властивості.</w:t>
      </w:r>
    </w:p>
    <w:p w14:paraId="1898CB62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Фармакодинаміка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</w:t>
      </w:r>
    </w:p>
    <w:p w14:paraId="38BF2CF1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Механізм дії</w:t>
      </w:r>
    </w:p>
    <w:p w14:paraId="192BF830" w14:textId="77777777" w:rsidR="00A86CBD" w:rsidRPr="00A86CBD" w:rsidRDefault="00A86CBD" w:rsidP="00A86CBD">
      <w:pPr>
        <w:shd w:val="clear" w:color="auto" w:fill="FFFFFF"/>
        <w:spacing w:after="0" w:line="240" w:lineRule="auto"/>
        <w:ind w:right="5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-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сигма-ліганд,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має високу спорідненість із ділянками зв’язування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сигма-рецепторів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(тип 1 і тип 2) та антагоністично діє на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гістамінові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Н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bscript"/>
          <w:lang w:val="uk-UA" w:eastAsia="ru-RU"/>
        </w:rPr>
        <w:t>1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-рецептори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Спорідненість із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5-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uk-UA" w:eastAsia="ru-RU"/>
        </w:rPr>
        <w:t>2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A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серотоніновими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рецепторами,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-допаміновими рецепторами та α-адренергічними рецепторами незначна. На відміну від структурно близьких до нього трициклічних антидепресантів,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має незначну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антихолінергічну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активність та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 пригнічує зворотного захоплення серотоніну або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норадреналіну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Посилює відновлення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допаміну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46DD0CB9" w14:textId="77777777" w:rsidR="00A86CBD" w:rsidRPr="00A86CBD" w:rsidRDefault="00A86CBD" w:rsidP="00A86CBD">
      <w:pPr>
        <w:shd w:val="clear" w:color="auto" w:fill="FFFFFF"/>
        <w:spacing w:after="0" w:line="240" w:lineRule="auto"/>
        <w:ind w:right="5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демонструє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модулюючу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дію на систему NMDA-рецепторів через сигма-рецептори, та доведений захист від втрати нейронів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гіпокампа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спричиненій ішемією у експерименті.</w:t>
      </w:r>
    </w:p>
    <w:p w14:paraId="293DF365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Модулюючі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ефекти сигма-лігандів аналогічно описані щодо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серотонінергічних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норадренергічних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систем.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як і більш селективні сигма-ліганди, демонструє ефект у поведінкових фармакологічних моделях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, що вказує на зменшення тривоги, та має порівняно меншу активність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плавальному тесті на щурах, який є методом тестування потенційних антидепресантів.</w:t>
      </w:r>
    </w:p>
    <w:p w14:paraId="48AF2988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людей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має заспокійливу,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анксіолітичну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помірну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тимоаналептичну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дію.</w:t>
      </w:r>
    </w:p>
    <w:p w14:paraId="02D916F5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Фармакокінетика.</w:t>
      </w:r>
    </w:p>
    <w:p w14:paraId="5D527298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Всмоктування</w:t>
      </w:r>
    </w:p>
    <w:p w14:paraId="3F0316E6" w14:textId="77777777" w:rsidR="00A86CBD" w:rsidRPr="00A86CBD" w:rsidRDefault="00A86CBD" w:rsidP="00A86CBD">
      <w:pPr>
        <w:shd w:val="clear" w:color="auto" w:fill="FFFFFF"/>
        <w:spacing w:after="0" w:line="240" w:lineRule="auto"/>
        <w:ind w:right="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Після перорального прийому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швидко і повністю всмоктується. Під час проходження через печінку відбувається частковий метаболізм у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дегідроксіетил-опіпрамол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. Зв’язування з білками плазми крові становить близько 91 %, об’єм розподілу препарату – близько 10 л/кг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Період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напіввиведення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Τ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½)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становить приблизно 11 годин.</w:t>
      </w:r>
    </w:p>
    <w:p w14:paraId="749252B0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Після разового перорального прийому 50 мг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максимальна концентрація у плазмі крові досягається через 3,3 години і становить 15,6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нг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/мл.</w:t>
      </w:r>
    </w:p>
    <w:p w14:paraId="2C7B21AD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Після разового перорального прийому 100 мг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максимальна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концентрація у плазмі крові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досягається через 3 години і становить 33,2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нг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/мл.</w:t>
      </w:r>
    </w:p>
    <w:p w14:paraId="0AC7A784" w14:textId="77777777" w:rsidR="00A86CBD" w:rsidRPr="00A86CBD" w:rsidRDefault="00A86CBD" w:rsidP="00A86CB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Метаболізм</w:t>
      </w:r>
    </w:p>
    <w:p w14:paraId="2872393D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метаболізується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переважно ізоферментом CYP2D6. У пацієнтів із дефіцитом CYP2D6 («повільні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метаболізатори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») максимальна концентрація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плазмі крові 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може до 2,5 разів перевищувати концентрацію, ніж в осіб із нормальним метаболізмом.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Τ½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 збільшується при тривалому прийомі, тому накопичення не прогнозується навіть у «повільних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метаболізаторів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14:paraId="410A9B2C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Виведення</w:t>
      </w:r>
    </w:p>
    <w:p w14:paraId="4EEFC1CC" w14:textId="77777777" w:rsidR="00A86CBD" w:rsidRPr="00A86CBD" w:rsidRDefault="00A86CBD" w:rsidP="00A86CB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Понад 70 % діючої речовини виводиться через нирки, із них до 10 %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–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незміненій формі. Решта виводиться із калом.</w:t>
      </w:r>
    </w:p>
    <w:p w14:paraId="5EEA8EA4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У пацієнтів із порушеннями функції нирок може виникнути необхідність у зниженні дози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676F1A1E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2C49EA5C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Клінічні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характеристики.</w:t>
      </w:r>
    </w:p>
    <w:p w14:paraId="2AB08FC2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Показання.</w:t>
      </w:r>
    </w:p>
    <w:p w14:paraId="5287D221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3968" w:hanging="360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Arial" w:eastAsia="Times New Roman" w:hAnsi="Arial" w:cs="Arial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Генералізований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тривожний розлад.</w:t>
      </w:r>
    </w:p>
    <w:p w14:paraId="3F950EDC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3968" w:hanging="360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Arial" w:eastAsia="Times New Roman" w:hAnsi="Arial" w:cs="Arial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Соматоформні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розлади.</w:t>
      </w:r>
    </w:p>
    <w:p w14:paraId="5467E3B7" w14:textId="77777777" w:rsidR="00A86CBD" w:rsidRPr="00A86CBD" w:rsidRDefault="00A86CBD" w:rsidP="00A86CBD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097BC7F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Протипоказання.</w:t>
      </w:r>
    </w:p>
    <w:p w14:paraId="482725E2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Гіперчутливість до діючої речовини або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інших компонентів препарату;</w:t>
      </w:r>
    </w:p>
    <w:p w14:paraId="20E52F76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гострі отруєння алкоголем, снодійними засобами, анальгетиками та психотропними засобами;</w:t>
      </w:r>
    </w:p>
    <w:p w14:paraId="135A8BF9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гостра затримка сечі;</w:t>
      </w:r>
    </w:p>
    <w:p w14:paraId="13B89B96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гострий делірій;</w:t>
      </w:r>
    </w:p>
    <w:p w14:paraId="2C3591F3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proofErr w:type="spellStart"/>
      <w:r w:rsidRPr="00A86C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нелікована</w:t>
      </w:r>
      <w:proofErr w:type="spellEnd"/>
      <w:r w:rsidRPr="00A86C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86C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закритокутова</w:t>
      </w:r>
      <w:proofErr w:type="spellEnd"/>
      <w:r w:rsidRPr="00A86CB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 xml:space="preserve"> глаукома</w:t>
      </w: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;</w:t>
      </w:r>
    </w:p>
    <w:p w14:paraId="1E2CE38F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гіпертрофія передміхурової залози з наявністю залишкової сечі;</w:t>
      </w:r>
    </w:p>
    <w:p w14:paraId="3B2294FB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паралітична кишкова непрохідність;</w:t>
      </w:r>
    </w:p>
    <w:p w14:paraId="38BA2538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попередні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атріовентрикулярні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блокади вищого ступеня або дифузні порушення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надшлуночкової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або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шлуночкової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провідності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5832AC7C" w14:textId="77777777" w:rsidR="00A86CBD" w:rsidRPr="00A86CBD" w:rsidRDefault="00A86CBD" w:rsidP="00A86CBD">
      <w:pPr>
        <w:shd w:val="clear" w:color="auto" w:fill="FFFFFF"/>
        <w:spacing w:after="0" w:line="240" w:lineRule="auto"/>
        <w:ind w:left="426" w:right="141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одночасне застосування з інгібіторами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моноамінооксидази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(МАО).</w:t>
      </w:r>
    </w:p>
    <w:p w14:paraId="2B0FF467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1E1FE7B7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Взаємодія з іншими лікарськими засобами та інші види взаємодій.</w:t>
      </w:r>
    </w:p>
    <w:p w14:paraId="49091838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Слід дотримуватися обережності при одночасному застосуванні з нейролептиками, снодійними засобами та транквілізаторами (наприклад, барбітуратами,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бензодіазепінами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), оскільки комбіноване застосування може посилювати центрально-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пригнічувальні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ефекти. Це ж стосується і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седації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після застосування системних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анестетиків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CF2F3C8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Може посилюватися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 дія таких сильних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холіноблокаторів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, як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протипаркінсонічні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засоби та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фенотіазини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F7F3EE3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Одночасне застосування інгібіторів зворотного захоплення серотоніну та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може спричинити адитивну дію на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серотонінергічну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систему.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Флуоксетин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та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флувоксамін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можуть спричинити підвищення концентрації трициклічних психотропних засобів у плазмі крові, що може посилити побічні реакції.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випадку необхідності слід зменшити дозу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1F9C4E6D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Поєднання з алкоголем може викликати сонливість.</w:t>
      </w:r>
    </w:p>
    <w:p w14:paraId="4A797BC5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протипоказано приймати разом з інгібіторами МАО. Прийом інгібіторів МАО слід припинити щонайменше за 14 днів до початку лікування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опіпрамолом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. Прийом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слід припинити щонайменше за 14 днів до початку лікування інгібіторами МАО.</w:t>
      </w:r>
    </w:p>
    <w:p w14:paraId="318E1C0B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Одночасне застосування бета-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адреноблокаторів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(наприклад,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пропранололу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),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протиаритмічних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препаратів класу IС, трициклічних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антидепресантів та препаратів, які впливають на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мікросомальну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ферментну систему печінки (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монооксигенази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), може призвести до змін концентрацій цих лікарських засобів та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 у плазмі крові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Барбітурати та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протисудомні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засоби можуть знижувати концентрацію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плазмі крові, тим самим послаблюючи його лікувальну дію. Одночасне застосування нейролептиків (наприклад,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галоперидолу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рисперидону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може підвищувати концентрацію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плазмі крові. У випадку необхідності, слід відповідним чином відкоригувати дозу.</w:t>
      </w:r>
    </w:p>
    <w:p w14:paraId="33D6A5EB" w14:textId="77777777" w:rsidR="00A86CBD" w:rsidRPr="00A86CBD" w:rsidRDefault="00A86CBD" w:rsidP="00A86CBD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lastRenderedPageBreak/>
        <w:t xml:space="preserve">Трициклічні антидепресанти не слід застосовувати у поєднанні з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протиаритмічними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засобами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хінідинового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типу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4CA7ECA1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Циметидин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може підвищувати концентрацію трициклічних засобів у плазмі крові, тому їх дозу слід знижувати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612DC888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47306C3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Особливості застосування.</w:t>
      </w:r>
    </w:p>
    <w:p w14:paraId="3BD73C42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 можна застосовувати при гіпертрофії передміхурової залози, виражених захворюваннях печінки та нирок, підвищеній судомній активності (наприклад, ураженні головного мозку різної етіології, епілепсії, алкоголізмі),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цереброваскулярній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недостатності, а також ураженнях серця, зокрема порушенні провідності. Лікування пацієнтів із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попередніми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атріовентрикулярними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блокадами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I ступеня або іншими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порушеннями провідності повинно проводитись з моніторингом ЕКГ (щодо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атріовентрикулярних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блокад вищого ступеня див. розділ «Протипоказання»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</w:t>
      </w:r>
    </w:p>
    <w:p w14:paraId="4B2F8C83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Зміни в картині крові (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нейтропенія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, агранулоцитоз) можуть траплятися дуже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, але при лікуванні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опіпрамолом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слід перевірити картину крові, при виникненні гарячки, грипу та ангіни.</w:t>
      </w:r>
    </w:p>
    <w:p w14:paraId="7A2E63F0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У зв’язку з можливістю виникнення небажаних явищ з боку серцево-судинної системи слід дотримуватися особливої обережності пацієнтам із гіпертиреозом або пацієнтам, які приймають препарати, що впливають на функцію щитовидної залози (див. розділ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«Побічні реакції»).</w:t>
      </w:r>
    </w:p>
    <w:p w14:paraId="60BCF309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Діти та підлітки</w:t>
      </w:r>
    </w:p>
    <w:p w14:paraId="4BC47C0E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Ефективність та безпека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дітей та підлітків не доведені, тому застосування препарату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пацієнтам віком до 18 років не рекомендується.</w:t>
      </w:r>
    </w:p>
    <w:p w14:paraId="4BD8127B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У процесі досліджень лікування депресивних станів у цій віковій групі лікарські засоби групи трициклічних антидепресантів, до яких належить і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, терапевтичної користі не виявили. Дослідження з іншими антидепресантами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(селективними інгібіторами зворотного захоплення серотоніну (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SSRI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), селективними інгібіторами зворотного захоплення серотоніну-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норадреналіну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SNRI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)) виявили підвищений ризик виникнення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суїцидальної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поведінки,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самоушкодження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ворожості у зв’язку з застосуванням цих засобів. Тому ці ризики не можна виключити і щодо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B49DA04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Крім того,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у всіх вікових групах пов’язаний із ризиком серцево-судинних побічних ефектів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До того ж, немає даних про безпеку препарату при його довготривалому застосуванні у дітей та підлітків щодо впливу на їх ріст, дозрівання, а також пізнавальний та поведінковий розвиток.</w:t>
      </w:r>
    </w:p>
    <w:p w14:paraId="1B3DA36C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Ризик суїциду</w:t>
      </w:r>
    </w:p>
    <w:p w14:paraId="26B32327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випадку депресивних станів існує ризик самогубства, який може тривати, поки не наступить суттєва ремісія захворювання. У контексті застосування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повідомляли про спроби самогубства, деякі з них мали летальні наслідки.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У пацієнтів із депресивними станами (як у дорослих, так і у дітей та підлітків) можуть мати місце посилення депресивного стану та/або ризик суїциду або інші психіатричні симптоми, незалежно від того, приймають вони антидепресанти чи ні.</w:t>
      </w:r>
    </w:p>
    <w:p w14:paraId="41585C7F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психіатричні розлади також можуть бути пов’язані з підвищеним ризиком самогубства або депресивних розладів (великих депресивних епізодів). Тому за усіма пацієнтами, які, незалежно від сфери застосування, отримують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необхідно встановити ретельний контроль на предмет клінічного погіршення, ризику суїциду та інших психіатричних симптомів, особливо на початку лікування або після зміни дозування. У таких пацієнтів слід враховувати зміну схеми лікування, включаючи можливе припинення прийому ліків. Це є особливо актуальним тоді, коли ці зміни є тяжкими, відбуваються раптово або не були частиною попередньої симптоматики пацієнта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.</w:t>
      </w:r>
    </w:p>
    <w:p w14:paraId="75E138FE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Членам родини та медичному персоналу, що здійснює догляд за дорослими пацієнтами та пацієнтами дитячого віку, які застосовують антидепресанти для лікування психіатричних і непсихіатричних розладів, слід рекомендувати слідкувати за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пацієнтами на предмет 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lastRenderedPageBreak/>
        <w:t>виникнення ризику суїциду та інших психологічних симптомів.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Слід негайно повідомляти лікаря про такі симптоми.</w:t>
      </w:r>
    </w:p>
    <w:p w14:paraId="5C5465B4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 виникненні алергічних реакцій прийом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слід припинити.</w:t>
      </w:r>
    </w:p>
    <w:p w14:paraId="2CCE86EE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тривалому застосуванні рекомендується контролювати показники функції печінки.</w:t>
      </w:r>
    </w:p>
    <w:p w14:paraId="0A1B1874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</w:p>
    <w:p w14:paraId="4C85D243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Застосування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 </w:t>
      </w: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період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вагітності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або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годування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груддю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4E0300D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Клінічних даних щодо застосування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вагітним жінкам немає.</w:t>
      </w:r>
    </w:p>
    <w:p w14:paraId="67A04926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Дослідження на тваринах не дозволяють зробити висновок щодо прямого або опосередкованого шкідливого впливу на ембріональний розвиток або фертильність.</w:t>
      </w:r>
    </w:p>
    <w:p w14:paraId="0B231C43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Слід з обережністю застосовувати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 час вагітності. У період вагітності, особливо у І триместрі,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слід призначати, якщо користь від його застосування перевищує ризик.</w:t>
      </w:r>
    </w:p>
    <w:p w14:paraId="5CFFE791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 слід застосовувати у період годування груддю, оскільки він у невеликих кількостях проникає у грудне молоко. У випадку необхідності застосування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годування груддю слід припинити.</w:t>
      </w:r>
    </w:p>
    <w:p w14:paraId="60638C7A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 </w:t>
      </w:r>
    </w:p>
    <w:p w14:paraId="66110640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Здатність впливати на швидкість реакції при керуванні автотранспортом або іншими механізмами.</w:t>
      </w:r>
    </w:p>
    <w:p w14:paraId="3629AE9A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Опіпрамол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має незначний або помірний вплив на здатність керувати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транспортними засобами або іншими механізмами, особливо на початку лікування, а також при одночасному застосуванні з іншими лікарськими засобами, які мають вплив на центральну нервову систему (ЦНС) (болезаспокійливими, снодійними, психотропними препаратами) та алкоголем.</w:t>
      </w:r>
    </w:p>
    <w:p w14:paraId="781C0C41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670F104C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Спосіб застосування та дози.</w:t>
      </w:r>
    </w:p>
    <w:p w14:paraId="47F12906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Лікування завжди повинно відбуватися під наглядом лікаря.</w:t>
      </w:r>
    </w:p>
    <w:p w14:paraId="09BF96DC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Дозування</w:t>
      </w:r>
    </w:p>
    <w:p w14:paraId="160B3AEF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Для дорослих доза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зазвичай становить по 50 мг вранці та опівдні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(по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таблетці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) і 100 мг увечері (2 таблетки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</w:t>
      </w:r>
    </w:p>
    <w:p w14:paraId="47E0A177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Залежно від ефективності та переносимості, дозу можна зменшити до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50–100 мг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 раз на добу (бажано ввечері)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, або збільшити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до 100 мг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3 рази на добу.</w:t>
      </w:r>
    </w:p>
    <w:p w14:paraId="0F9F2661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Спосіб застосування</w:t>
      </w:r>
    </w:p>
    <w:p w14:paraId="67900A0A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Таблетки приймати під час їжі або після їжі не розжовуючи та запиваючи водою.</w:t>
      </w:r>
    </w:p>
    <w:p w14:paraId="1BDE0152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Тривалість застосування</w:t>
      </w:r>
    </w:p>
    <w:p w14:paraId="2EE5588B" w14:textId="77777777" w:rsidR="00A86CBD" w:rsidRPr="00A86CBD" w:rsidRDefault="00A86CBD" w:rsidP="00A86CBD">
      <w:pPr>
        <w:shd w:val="clear" w:color="auto" w:fill="FFFFFF"/>
        <w:spacing w:after="0" w:line="240" w:lineRule="auto"/>
        <w:ind w:righ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Препарат слід приймати регулярно щонайменше протягом 2 тижнів, оскільки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дія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проявляється не миттєво, а покращення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настрою настає поступово.</w:t>
      </w:r>
    </w:p>
    <w:p w14:paraId="2F82975A" w14:textId="77777777" w:rsidR="00A86CBD" w:rsidRPr="00A86CBD" w:rsidRDefault="00A86CBD" w:rsidP="00A86CBD">
      <w:pPr>
        <w:shd w:val="clear" w:color="auto" w:fill="FFFFFF"/>
        <w:spacing w:after="0" w:line="240" w:lineRule="auto"/>
        <w:ind w:righ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Рекомендована середня тривалість лікування становить 1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–2 місяці.</w:t>
      </w:r>
    </w:p>
    <w:p w14:paraId="3FF51CC8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Лікування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опіпрамолом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 слід припиняти різко, оскільки при раптовому припиненні довготривалої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високодозової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терапії можуть виникати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почуття неспокою, підвищення потовиділення та порушення сну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95DEA44" w14:textId="77777777" w:rsidR="00A86CBD" w:rsidRPr="00A86CBD" w:rsidRDefault="00A86CBD" w:rsidP="00A86CBD">
      <w:pPr>
        <w:spacing w:after="0" w:line="240" w:lineRule="auto"/>
        <w:ind w:right="-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62F102BA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Діти</w:t>
      </w:r>
    </w:p>
    <w:p w14:paraId="5302731C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застосовувати дітям віком до 18 років.</w:t>
      </w:r>
    </w:p>
    <w:p w14:paraId="2006D556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413307C1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Передозування.</w:t>
      </w:r>
    </w:p>
    <w:p w14:paraId="5DBD43D7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Симптоми</w:t>
      </w:r>
    </w:p>
    <w:p w14:paraId="40E068F2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Сонливість, безсоння, неспокій, кома, ступор, тимчасова сплутаність свідомості, підвищена тривожність, атаксія, судоми,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олігурія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анурія, тахікардія/аритмія,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атріовентрикулярна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блокада, гіпотонія, шок, пригнічення дихання,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зупинка серця.</w:t>
      </w:r>
    </w:p>
    <w:p w14:paraId="7C26DD95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Лікування</w:t>
      </w:r>
    </w:p>
    <w:p w14:paraId="7A0F9CE1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Специфічного антидоту не існує. Видалення препарату з організму – шляхом викликання блювання та/або промивання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шлунка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Рекомендації щодо клінічного лікування –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забезпечення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життєво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важливих функцій.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 Постійний контроль стану серцево-судинної системи протягом щонайменше 48 годин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44025867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випадку передозування вжити таких заходів:</w:t>
      </w:r>
    </w:p>
    <w:p w14:paraId="29063A37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дихальна недостатність: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інтубація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штучна вентиляція легень;</w:t>
      </w:r>
    </w:p>
    <w:p w14:paraId="6EF41ECD" w14:textId="77777777" w:rsidR="00A86CBD" w:rsidRPr="00A86CBD" w:rsidRDefault="00A86CBD" w:rsidP="00A86CBD">
      <w:pPr>
        <w:shd w:val="clear" w:color="auto" w:fill="FFFFFF"/>
        <w:spacing w:after="0" w:line="240" w:lineRule="auto"/>
        <w:ind w:left="566" w:right="18" w:hanging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тяжка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гіпотензія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: приведення тіла у відповідне положення, внутрішньовенне введення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плазмозамінного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засобу,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внутрішньовенне крапельне введення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допаміну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або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добутаміну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264EA1F9" w14:textId="77777777" w:rsidR="00A86CBD" w:rsidRPr="00A86CBD" w:rsidRDefault="00A86CBD" w:rsidP="00A86CBD">
      <w:pPr>
        <w:shd w:val="clear" w:color="auto" w:fill="FFFFFF"/>
        <w:spacing w:after="0" w:line="240" w:lineRule="auto"/>
        <w:ind w:left="566" w:hanging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аритмії: індивідуальне лікування; кардіостимулятор, компенсація низького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рівня калію та можливого ацидозу;</w:t>
      </w:r>
    </w:p>
    <w:p w14:paraId="31A89EE8" w14:textId="77777777" w:rsidR="00A86CBD" w:rsidRPr="00A86CBD" w:rsidRDefault="00A86CBD" w:rsidP="00A86CBD">
      <w:pPr>
        <w:shd w:val="clear" w:color="auto" w:fill="FFFFFF"/>
        <w:spacing w:after="0" w:line="240" w:lineRule="auto"/>
        <w:ind w:left="566" w:hanging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судоми: внутрішньовенне введення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діазепаму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або іншого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протисудомного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засобу, наприклад фенобарбіталу або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парацетальдегіду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(з обережністю з огляду на можливе загострення наявної дихальної недостатності,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гіпотензії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 xml:space="preserve"> або коми, спричиненими цими речовинами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);</w:t>
      </w:r>
    </w:p>
    <w:p w14:paraId="2CE4EEC4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A86CB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діаліз та гемодіаліз не ефективні щодо виведення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опіпрамолу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65A8AFCA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Оскільки діти є більш чутливими до гострого передозування трициклічними антидепресантами/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анксіолітиками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ніж дорослі, та, враховуючи описані серйозні інциденти, слід вжити всіх можливих заходів щодо запобігання передозуванню; якщо ж воно все ж відбулося, то до симптомів передозування слід поставитися серйозно та </w:t>
      </w: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проявити особливу обережність у лікуванні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136CC961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4F763E6B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Побічні реакції.</w:t>
      </w:r>
    </w:p>
    <w:p w14:paraId="064560D9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Побічні ефекти згруповано за частотою виникнення: дуже часто (≥1/10), часто (від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≥1/100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&lt;1/10), нечасто (від ≥1/1000 до &lt;1/100),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(від ≥1/10000 до &lt;1/1000), дуже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(&lt;1/10000).</w:t>
      </w:r>
    </w:p>
    <w:p w14:paraId="2EA10D5F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крові та лімфатичної системи: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–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зміни картини крові, зокрема лейкопенія; дуже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агранулоцитоз.</w:t>
      </w:r>
    </w:p>
    <w:p w14:paraId="738AB340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нервової системи: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часто – втомлюваність (особливо на початку лікування); нечасто – запаморочення, сонливість, порушення сечовипускання, порушення акомодації, тремор, збільшення маси тіла, спрага;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головний біль, парестезії (особливо у пацієнтів літнього віку), сплутаність свідомості та делірій (особливо у випадку раптової відміни тривалої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високодозової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терапії), неспокій, підвищене потовиділення та порушення сну; дуже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церебральні судоми, моторні порушення (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акатизія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дискінезія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), атаксія,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полінейропатії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випадки глаукоми, тривожні стани.</w:t>
      </w:r>
    </w:p>
    <w:p w14:paraId="2B0B91DE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органів зору: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нечасто – неадекватна рефракція; дуже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напади глаукоми.</w:t>
      </w:r>
    </w:p>
    <w:p w14:paraId="75E7AF9C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серцево-судинної системи: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часто –</w:t>
      </w: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гіпотонія та ортостатична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дисрегуляція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(особливо на початку лікування); нечасто – тахікардія, серцебиття;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стан колапсу, порушення провідності, погіршення наявної серцевої недостатності.</w:t>
      </w:r>
    </w:p>
    <w:p w14:paraId="5448FC31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дихальної системи, грудної клітки і середостіння: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часто –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закладеність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носа.</w:t>
      </w:r>
    </w:p>
    <w:p w14:paraId="0EFFBBD8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травної системи: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часто – сухість у роті; нечасто – запор;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дискомфорт у шлунку, порушення смаку, паралітичний ілеус (особливо при раптовій відміні тривалої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високодозової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терапії), нудота та блювання.</w:t>
      </w:r>
    </w:p>
    <w:p w14:paraId="03D6115C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З боку </w:t>
      </w:r>
      <w:proofErr w:type="spellStart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гепатобіліарної</w:t>
      </w:r>
      <w:proofErr w:type="spellEnd"/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системи:</w:t>
      </w: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нечасто – тимчасове підвищення ферментів печінки (див. розділ «Особливості застосування»); дуже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тяжкі порушення функції печінки, жовтяниця та хронічне ураження печінки після тривалої терапії (див. розділ «Особливості застосування»).</w:t>
      </w:r>
    </w:p>
    <w:p w14:paraId="46649943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шкіри і підшкірних тканин: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нечасто – алергічні реакції з боку шкіри (екзантема, кропив’янка)</w:t>
      </w:r>
      <w:r w:rsidRPr="00A86CB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uk-UA" w:eastAsia="ru-RU"/>
        </w:rPr>
        <w:t>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(див. розділ «Особливості застосування»);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набряки; дуже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випадіння волосся.</w:t>
      </w:r>
    </w:p>
    <w:p w14:paraId="1C588AF0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 боку нирок та сечовидільної системи: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нечасто – утруднене сечовипускання;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затримка сечі.</w:t>
      </w:r>
    </w:p>
    <w:p w14:paraId="0BD6ECBC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 </w:t>
      </w:r>
      <w:r w:rsidRPr="00A86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боку репродуктивної системи та молочних залоз: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нечасто – порушення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еякуляції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еректильна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дисфункція;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рідко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галакторея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4F44B014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lastRenderedPageBreak/>
        <w:t>Переломи кісток</w:t>
      </w:r>
    </w:p>
    <w:p w14:paraId="1923C98F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Епідеміологічні дослідження, які проводили переважно з участю пацієнтів віком від 50 років, показують підвищений ризик переломів кісток у пацієнтів, які приймають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SSRI та трициклічні антидепресанти. Механізм виникнення цього ризику наразі невідомий.</w:t>
      </w:r>
    </w:p>
    <w:p w14:paraId="0CF821B5" w14:textId="77777777" w:rsidR="00A86CBD" w:rsidRPr="00A86CBD" w:rsidRDefault="00A86CBD" w:rsidP="00A86CB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 w:eastAsia="ru-RU"/>
        </w:rPr>
        <w:t> </w:t>
      </w:r>
    </w:p>
    <w:p w14:paraId="2631DD6B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Термін придатності.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 років.</w:t>
      </w:r>
    </w:p>
    <w:p w14:paraId="62082258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p w14:paraId="6D1A66F4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Умови зберігання.</w:t>
      </w:r>
    </w:p>
    <w:p w14:paraId="28EC8871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Лікарський засіб не вимагає спеціальних умов зберігання. Зберігати у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недоступному для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3B1CD0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17CD0F29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Упаковка.</w:t>
      </w:r>
    </w:p>
    <w:p w14:paraId="30CB6931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10 таблеток у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блістері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 3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блістери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пачці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картону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68F59B7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717DF3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Категорія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відпуску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рецептом.</w:t>
      </w:r>
    </w:p>
    <w:p w14:paraId="50F99D28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p w14:paraId="130EE51F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Виробник.</w:t>
      </w:r>
    </w:p>
    <w:p w14:paraId="3D7884B8" w14:textId="77777777" w:rsidR="00A86CBD" w:rsidRPr="00A86CBD" w:rsidRDefault="00A86CBD" w:rsidP="00A86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Дрегенофарм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Апотекер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Пушл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ГмбХ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/</w:t>
      </w: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Dragenopharm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Apotheker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Pueschl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GmbH</w:t>
      </w:r>
      <w:proofErr w:type="spellEnd"/>
      <w:r w:rsidRPr="00A86C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538851FF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2FBE8498" w14:textId="77777777" w:rsidR="00A86CBD" w:rsidRPr="00A86CBD" w:rsidRDefault="00A86CBD" w:rsidP="00A86CB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</w:t>
      </w:r>
      <w:proofErr w:type="spellStart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ісцезнаходження</w:t>
      </w:r>
      <w:proofErr w:type="spellEnd"/>
      <w:r w:rsidRPr="00A8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виробника та адреса місця провадження його діяльності.</w:t>
      </w:r>
    </w:p>
    <w:p w14:paraId="3AF196B5" w14:textId="77777777" w:rsidR="00A86CBD" w:rsidRPr="00A86CBD" w:rsidRDefault="00A86CBD" w:rsidP="00A86C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Вул.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Голштрассе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1, м.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Тіттмонінг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Баварія, 84529, Німеччина/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Goellstrasse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1,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Tittmoning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Bayern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84529, </w:t>
      </w:r>
      <w:proofErr w:type="spellStart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Germany</w:t>
      </w:r>
      <w:proofErr w:type="spellEnd"/>
      <w:r w:rsidRPr="00A86CB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14:paraId="0ED10D2E" w14:textId="77777777" w:rsidR="00B41A9B" w:rsidRDefault="00A86CBD">
      <w:bookmarkStart w:id="0" w:name="_GoBack"/>
      <w:bookmarkEnd w:id="0"/>
    </w:p>
    <w:sectPr w:rsidR="00B41A9B" w:rsidSect="0051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F"/>
    <w:rsid w:val="00201275"/>
    <w:rsid w:val="00512F5F"/>
    <w:rsid w:val="005E74BD"/>
    <w:rsid w:val="00A86CBD"/>
    <w:rsid w:val="00AE425D"/>
    <w:rsid w:val="00B8177E"/>
    <w:rsid w:val="00F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6AD-09A7-4A6F-9F1C-76C1C51B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2434</Words>
  <Characters>13879</Characters>
  <Application>Microsoft Office Word</Application>
  <DocSecurity>0</DocSecurity>
  <Lines>115</Lines>
  <Paragraphs>32</Paragraphs>
  <ScaleCrop>false</ScaleCrop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Roamn.P</dc:creator>
  <cp:keywords/>
  <dc:description/>
  <cp:lastModifiedBy>Roamn.P</cp:lastModifiedBy>
  <cp:revision>2</cp:revision>
  <dcterms:created xsi:type="dcterms:W3CDTF">2023-02-07T11:20:00Z</dcterms:created>
  <dcterms:modified xsi:type="dcterms:W3CDTF">2023-02-07T11:20:00Z</dcterms:modified>
</cp:coreProperties>
</file>